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/>
      <w:r>
        <w:rPr>
          <w:rFonts w:cs="Times New Roman"/>
          <w:sz w:val="21"/>
          <w:szCs w:val="21"/>
        </w:rPr>
        <w:t>（別添）</w:t>
      </w:r>
    </w:p>
    <w:p>
      <w:pPr>
        <w:pStyle w:val="Normal"/>
        <w:overflowPunct w:val="true"/>
        <w:snapToGrid w:val="false"/>
        <w:jc w:val="center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伐 採 計 画 書</w:t>
      </w:r>
    </w:p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p>
      <w:pPr>
        <w:pStyle w:val="Normal"/>
        <w:overflowPunct w:val="true"/>
        <w:snapToGrid w:val="false"/>
        <w:jc w:val="right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（伐採する者の住所・氏名）</w:t>
      </w:r>
    </w:p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１　伐採の計画</w:t>
      </w:r>
    </w:p>
    <w:tbl>
      <w:tblPr>
        <w:tblW w:w="7963" w:type="dxa"/>
        <w:jc w:val="left"/>
        <w:tblInd w:w="397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</w:tblPr>
      <w:tblGrid>
        <w:gridCol w:w="164"/>
        <w:gridCol w:w="1844"/>
        <w:gridCol w:w="3402"/>
        <w:gridCol w:w="993"/>
        <w:gridCol w:w="1560"/>
      </w:tblGrid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Times New Roman"/>
                <w:spacing w:val="147"/>
                <w:sz w:val="21"/>
                <w:szCs w:val="21"/>
              </w:rPr>
              <w:t>伐採面</w:t>
            </w:r>
            <w:r>
              <w:rPr>
                <w:rFonts w:cs="Times New Roman"/>
                <w:spacing w:val="1"/>
                <w:sz w:val="21"/>
                <w:szCs w:val="21"/>
              </w:rPr>
              <w:t>積</w:t>
            </w:r>
          </w:p>
        </w:tc>
        <w:tc>
          <w:tcPr>
            <w:tcW w:w="595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 xml:space="preserve">             </w:t>
            </w:r>
            <w:r>
              <w:rPr>
                <w:rFonts w:cs="ＭＳ 明朝"/>
                <w:sz w:val="21"/>
                <w:szCs w:val="21"/>
              </w:rPr>
              <w:t>ha(</w:t>
            </w:r>
            <w:r>
              <w:rPr>
                <w:rFonts w:cs="ＭＳ 明朝"/>
                <w:sz w:val="21"/>
                <w:szCs w:val="21"/>
              </w:rPr>
              <w:t>うち人工林　　</w:t>
            </w:r>
            <w:r>
              <w:rPr>
                <w:rFonts w:cs="ＭＳ 明朝"/>
                <w:sz w:val="21"/>
                <w:szCs w:val="21"/>
              </w:rPr>
              <w:t>ha</w:t>
            </w:r>
            <w:r>
              <w:rPr>
                <w:rFonts w:cs="ＭＳ 明朝"/>
                <w:sz w:val="21"/>
                <w:szCs w:val="21"/>
              </w:rPr>
              <w:t>、天然林　　</w:t>
            </w:r>
            <w:r>
              <w:rPr>
                <w:rFonts w:cs="ＭＳ 明朝"/>
                <w:sz w:val="21"/>
                <w:szCs w:val="21"/>
              </w:rPr>
              <w:t xml:space="preserve">ha)  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Times New Roman"/>
                <w:spacing w:val="147"/>
                <w:sz w:val="21"/>
                <w:szCs w:val="21"/>
              </w:rPr>
              <w:t>伐採方</w:t>
            </w:r>
            <w:r>
              <w:rPr>
                <w:rFonts w:cs="Times New Roman"/>
                <w:spacing w:val="1"/>
                <w:sz w:val="21"/>
                <w:szCs w:val="2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主伐（皆伐・択伐）・間伐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right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 xml:space="preserve"> </w:t>
            </w:r>
            <w:r>
              <w:rPr>
                <w:rFonts w:cs="ＭＳ 明朝"/>
                <w:sz w:val="21"/>
                <w:szCs w:val="21"/>
              </w:rPr>
              <w:t>％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ＭＳ 明朝"/>
                <w:spacing w:val="84"/>
                <w:sz w:val="21"/>
                <w:szCs w:val="21"/>
              </w:rPr>
              <w:t>作業委託</w:t>
            </w:r>
            <w:r>
              <w:rPr>
                <w:rFonts w:cs="ＭＳ 明朝"/>
                <w:spacing w:val="2"/>
                <w:sz w:val="21"/>
                <w:szCs w:val="21"/>
              </w:rPr>
              <w:t>先</w:t>
            </w:r>
          </w:p>
        </w:tc>
        <w:tc>
          <w:tcPr>
            <w:tcW w:w="5955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Times New Roman"/>
                <w:spacing w:val="147"/>
                <w:sz w:val="21"/>
                <w:szCs w:val="21"/>
              </w:rPr>
              <w:t>伐採樹</w:t>
            </w:r>
            <w:r>
              <w:rPr>
                <w:rFonts w:cs="Times New Roman"/>
                <w:spacing w:val="1"/>
                <w:sz w:val="21"/>
                <w:szCs w:val="21"/>
              </w:rPr>
              <w:t>種</w:t>
            </w:r>
          </w:p>
        </w:tc>
        <w:tc>
          <w:tcPr>
            <w:tcW w:w="5955" w:type="dxa"/>
            <w:gridSpan w:val="3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Times New Roman"/>
                <w:spacing w:val="274"/>
                <w:sz w:val="21"/>
                <w:szCs w:val="21"/>
              </w:rPr>
              <w:t>伐採</w:t>
            </w:r>
            <w:r>
              <w:rPr>
                <w:rFonts w:cs="Times New Roman"/>
                <w:sz w:val="21"/>
                <w:szCs w:val="21"/>
              </w:rPr>
              <w:t>齢</w:t>
            </w:r>
          </w:p>
        </w:tc>
        <w:tc>
          <w:tcPr>
            <w:tcW w:w="5955" w:type="dxa"/>
            <w:gridSpan w:val="3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Times New Roman"/>
                <w:spacing w:val="84"/>
                <w:sz w:val="21"/>
                <w:szCs w:val="21"/>
              </w:rPr>
              <w:t>伐採の期</w:t>
            </w:r>
            <w:r>
              <w:rPr>
                <w:rFonts w:cs="Times New Roman"/>
                <w:spacing w:val="2"/>
                <w:sz w:val="21"/>
                <w:szCs w:val="21"/>
              </w:rPr>
              <w:t>間</w:t>
            </w:r>
          </w:p>
        </w:tc>
        <w:tc>
          <w:tcPr>
            <w:tcW w:w="5955" w:type="dxa"/>
            <w:gridSpan w:val="3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ＭＳ 明朝"/>
                <w:spacing w:val="147"/>
                <w:sz w:val="21"/>
                <w:szCs w:val="21"/>
              </w:rPr>
              <w:t>集材方</w:t>
            </w:r>
            <w:r>
              <w:rPr>
                <w:rFonts w:cs="ＭＳ 明朝"/>
                <w:spacing w:val="1"/>
                <w:sz w:val="21"/>
                <w:szCs w:val="21"/>
              </w:rPr>
              <w:t>法</w:t>
            </w:r>
          </w:p>
        </w:tc>
        <w:tc>
          <w:tcPr>
            <w:tcW w:w="5955" w:type="dxa"/>
            <w:gridSpan w:val="3"/>
            <w:tcBorders>
              <w:top w:val="single" w:sz="4" w:space="0" w:color="000001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ＭＳ 明朝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集材路・架線・その他（　　　　　）</w:t>
            </w:r>
          </w:p>
        </w:tc>
      </w:tr>
      <w:tr>
        <w:trPr>
          <w:trHeight w:val="686" w:hRule="exact"/>
        </w:trPr>
        <w:tc>
          <w:tcPr>
            <w:tcW w:w="1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/>
            </w:pPr>
            <w:r>
              <w:rPr>
                <w:rFonts w:cs="Times New Roman"/>
                <w:spacing w:val="24"/>
                <w:sz w:val="21"/>
                <w:szCs w:val="21"/>
              </w:rPr>
              <w:t>集材路の場</w:t>
            </w:r>
            <w:r>
              <w:rPr>
                <w:rFonts w:cs="Times New Roman"/>
                <w:sz w:val="21"/>
                <w:szCs w:val="21"/>
              </w:rPr>
              <w:t>合</w:t>
            </w:r>
          </w:p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予定幅員・延長</w:t>
            </w:r>
          </w:p>
        </w:tc>
        <w:tc>
          <w:tcPr>
            <w:tcW w:w="59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overflowPunct w:val="true"/>
              <w:snapToGrid w:val="false"/>
              <w:jc w:val="center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幅員　　　ｍ　・　延長　　　ｍ</w:t>
            </w:r>
          </w:p>
        </w:tc>
      </w:tr>
    </w:tbl>
    <w:p>
      <w:pPr>
        <w:pStyle w:val="Normal"/>
        <w:overflowPunct w:val="true"/>
        <w:snapToGrid w:val="false"/>
        <w:textAlignment w:val="baseline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</w:r>
    </w:p>
    <w:p>
      <w:pPr>
        <w:pStyle w:val="Normal"/>
        <w:overflowPunct w:val="true"/>
        <w:snapToGrid w:val="false"/>
        <w:ind w:left="214" w:right="0" w:hanging="214"/>
        <w:textAlignment w:val="baseline"/>
        <w:rPr/>
      </w:pPr>
      <w:r>
        <w:rPr>
          <w:rFonts w:cs="Times New Roman"/>
          <w:sz w:val="21"/>
          <w:szCs w:val="21"/>
        </w:rPr>
        <w:t>２　</w:t>
      </w:r>
      <w:r>
        <w:rPr>
          <w:rFonts w:cs="ＭＳ 明朝"/>
          <w:sz w:val="21"/>
          <w:szCs w:val="21"/>
        </w:rPr>
        <w:t>備考</w:t>
      </w:r>
    </w:p>
    <w:tbl>
      <w:tblPr>
        <w:tblW w:w="7223" w:type="dxa"/>
        <w:jc w:val="left"/>
        <w:tblInd w:w="3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</w:tblPr>
      <w:tblGrid>
        <w:gridCol w:w="7223"/>
      </w:tblGrid>
      <w:tr>
        <w:trPr>
          <w:trHeight w:val="454" w:hRule="atLeast"/>
        </w:trPr>
        <w:tc>
          <w:tcPr>
            <w:tcW w:w="7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overflowPunct w:val="true"/>
              <w:snapToGrid w:val="false"/>
              <w:jc w:val="left"/>
              <w:textAlignment w:val="baseline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</w:r>
          </w:p>
        </w:tc>
      </w:tr>
    </w:tbl>
    <w:p>
      <w:pPr>
        <w:pStyle w:val="Normal"/>
        <w:overflowPunct w:val="true"/>
        <w:snapToGrid w:val="false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</w:r>
    </w:p>
    <w:p>
      <w:pPr>
        <w:pStyle w:val="Normal"/>
        <w:overflowPunct w:val="true"/>
        <w:snapToGrid w:val="false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</w:r>
    </w:p>
    <w:p>
      <w:pPr>
        <w:pStyle w:val="Normal"/>
        <w:overflowPunct w:val="true"/>
        <w:snapToGrid w:val="false"/>
        <w:ind w:left="284" w:right="0" w:hanging="0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注意事項</w:t>
      </w:r>
    </w:p>
    <w:p>
      <w:pPr>
        <w:pStyle w:val="Normal"/>
        <w:overflowPunct w:val="true"/>
        <w:snapToGrid w:val="false"/>
        <w:ind w:left="763" w:right="0" w:hanging="195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１　伐採率欄には、立木材積による伐採率を記載すること。</w:t>
      </w:r>
    </w:p>
    <w:p>
      <w:pPr>
        <w:pStyle w:val="Normal"/>
        <w:overflowPunct w:val="true"/>
        <w:snapToGrid w:val="false"/>
        <w:ind w:left="763" w:right="0" w:hanging="195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pStyle w:val="Normal"/>
        <w:overflowPunct w:val="true"/>
        <w:snapToGrid w:val="false"/>
        <w:ind w:left="763" w:right="0" w:hanging="195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pStyle w:val="Normal"/>
        <w:overflowPunct w:val="true"/>
        <w:snapToGrid w:val="false"/>
        <w:ind w:left="763" w:right="0" w:hanging="195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  <w:t>４　伐採の期間が１年を超える場合においては、年次別に記載すること。</w:t>
      </w:r>
    </w:p>
    <w:p>
      <w:pPr>
        <w:pStyle w:val="Normal"/>
        <w:overflowPunct w:val="true"/>
        <w:snapToGrid w:val="false"/>
        <w:ind w:left="763" w:right="0" w:hanging="195"/>
        <w:jc w:val="left"/>
        <w:textAlignment w:val="baseline"/>
        <w:rPr>
          <w:rFonts w:cs="ＭＳ 明朝"/>
          <w:sz w:val="21"/>
          <w:szCs w:val="21"/>
        </w:rPr>
      </w:pPr>
      <w:r>
        <w:rPr>
          <w:rFonts w:cs="ＭＳ 明朝"/>
          <w:sz w:val="21"/>
          <w:szCs w:val="21"/>
        </w:rPr>
      </w:r>
    </w:p>
    <w:p>
      <w:pPr>
        <w:pStyle w:val="Normal"/>
        <w:widowControl/>
        <w:snapToGrid w:val="false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851" w:top="1418" w:footer="0" w:bottom="1786" w:gutter="0"/>
      <w:pgNumType w:fmt="decimal"/>
      <w:formProt w:val="false"/>
      <w:textDirection w:val="lrTb"/>
      <w:docGrid w:type="linesAndChars" w:linePitch="697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8"/>
      <w:szCs w:val="22"/>
      <w:lang w:val="en-US" w:eastAsia="ja-JP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outlineLvl w:val="0"/>
    </w:pPr>
    <w:rPr>
      <w:rFonts w:cs="DejaVu Sans"/>
      <w:szCs w:val="28"/>
    </w:rPr>
  </w:style>
  <w:style w:type="character" w:styleId="DefaultParagraphFont">
    <w:name w:val="Default Paragraph Font"/>
    <w:qFormat/>
    <w:rPr/>
  </w:style>
  <w:style w:type="character" w:styleId="Style13">
    <w:name w:val="ヘッダー (文字)"/>
    <w:basedOn w:val="DefaultParagraphFont"/>
    <w:qFormat/>
    <w:rPr/>
  </w:style>
  <w:style w:type="character" w:styleId="Style14">
    <w:name w:val="フッター (文字)"/>
    <w:basedOn w:val="DefaultParagraphFont"/>
    <w:qFormat/>
    <w:rPr/>
  </w:style>
  <w:style w:type="character" w:styleId="Style15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1">
    <w:name w:val="見出し 1 (文字)"/>
    <w:basedOn w:val="DefaultParagraphFont"/>
    <w:qFormat/>
    <w:rPr>
      <w:rFonts w:ascii="ＭＳ 明朝" w:hAnsi="ＭＳ 明朝" w:eastAsia="ＭＳ 明朝" w:cs="DejaVu Sans"/>
      <w:sz w:val="28"/>
      <w:szCs w:val="2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6">
    <w:name w:val="コメント文字列 (文字)"/>
    <w:basedOn w:val="DefaultParagraphFont"/>
    <w:qFormat/>
    <w:rPr>
      <w:rFonts w:ascii="ＭＳ 明朝" w:hAnsi="ＭＳ 明朝" w:eastAsia="ＭＳ 明朝"/>
      <w:sz w:val="28"/>
    </w:rPr>
  </w:style>
  <w:style w:type="character" w:styleId="Style17">
    <w:name w:val="コメント内容 (文字)"/>
    <w:basedOn w:val="Style16"/>
    <w:qFormat/>
    <w:rPr>
      <w:rFonts w:ascii="ＭＳ 明朝" w:hAnsi="ＭＳ 明朝" w:eastAsia="ＭＳ 明朝"/>
      <w:b/>
      <w:bCs/>
      <w:sz w:val="28"/>
    </w:rPr>
  </w:style>
  <w:style w:type="character" w:styleId="P">
    <w:name w:val="p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/>
      <w:color w:val="auto"/>
      <w:sz w:val="28"/>
      <w:szCs w:val="22"/>
      <w:lang w:val="en-US" w:eastAsia="ja-JP" w:bidi="ar-SA"/>
    </w:rPr>
  </w:style>
  <w:style w:type="paragraph" w:styleId="Style18">
    <w:name w:val="標準(太郎文書スタイル)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ＭＳ 明朝" w:hAnsi="ＭＳ 明朝" w:eastAsia="ＭＳ 明朝" w:cs="ＭＳ 明朝"/>
      <w:color w:val="000000"/>
      <w:sz w:val="28"/>
      <w:szCs w:val="28"/>
      <w:lang w:val="en-US" w:eastAsia="ja-JP" w:bidi="ar-SA"/>
    </w:rPr>
  </w:style>
  <w:style w:type="paragraph" w:styleId="Style19">
    <w:name w:val="新旧"/>
    <w:basedOn w:val="Normal"/>
    <w:qFormat/>
    <w:pPr>
      <w:tabs>
        <w:tab w:val="left" w:pos="6600" w:leader="none"/>
      </w:tabs>
      <w:overflowPunct w:val="true"/>
      <w:snapToGrid w:val="false"/>
      <w:jc w:val="left"/>
      <w:textAlignment w:val="center"/>
    </w:pPr>
    <w:rPr>
      <w:rFonts w:cs="ＭＳ Ｐゴシック"/>
      <w:sz w:val="21"/>
      <w:szCs w:val="24"/>
    </w:rPr>
  </w:style>
  <w:style w:type="paragraph" w:styleId="Style20">
    <w:name w:val="条文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Plott Corporation</Application>
  <Pages>2</Pages>
  <Words>362</Words>
  <Characters>367</Characters>
  <CharactersWithSpaces>410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2021-10-06T09:06:00Z</dcterms:created>
  <dc:creator>野村　悠花</dc:creator>
  <dc:description/>
  <dc:language>en-US</dc:language>
  <cp:lastModifiedBy>細江 克貴</cp:lastModifiedBy>
  <cp:lastPrinted>2022-03-17T00:29:00Z</cp:lastPrinted>
  <dcterms:modified xsi:type="dcterms:W3CDTF">2022-03-17T00:30:00Z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