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2E3" w:rsidRDefault="003F2D37" w:rsidP="00580608">
      <w:pPr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６７</w:t>
      </w:r>
    </w:p>
    <w:p w:rsidR="009012E3" w:rsidRDefault="009012E3">
      <w:pPr>
        <w:adjustRightInd/>
        <w:rPr>
          <w:rFonts w:ascii="Times New Roman" w:hAnsi="Times New Roman"/>
        </w:rPr>
      </w:pPr>
    </w:p>
    <w:p w:rsidR="009012E3" w:rsidRDefault="003F2D37">
      <w:pPr>
        <w:adjustRightInd/>
        <w:spacing w:line="460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2"/>
          <w:szCs w:val="32"/>
        </w:rPr>
        <w:instrText>危険予防措置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2"/>
          <w:szCs w:val="32"/>
        </w:rPr>
        <w:t>危険予防措置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9012E3" w:rsidRDefault="009012E3">
      <w:pPr>
        <w:adjustRightInd/>
        <w:rPr>
          <w:rFonts w:ascii="Times New Roman" w:hAnsi="Times New Roman"/>
        </w:rPr>
      </w:pPr>
    </w:p>
    <w:p w:rsidR="009012E3" w:rsidRDefault="009012E3">
      <w:pPr>
        <w:adjustRightInd/>
        <w:rPr>
          <w:rFonts w:ascii="Times New Roman" w:hAnsi="Times New Roman"/>
        </w:rPr>
      </w:pPr>
    </w:p>
    <w:p w:rsidR="009012E3" w:rsidRDefault="009012E3">
      <w:pPr>
        <w:adjustRightInd/>
        <w:rPr>
          <w:rFonts w:ascii="Times New Roman" w:hAnsi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1349"/>
        <w:gridCol w:w="6747"/>
        <w:gridCol w:w="192"/>
      </w:tblGrid>
      <w:tr w:rsidR="009012E3">
        <w:trPr>
          <w:cantSplit/>
          <w:trHeight w:val="1992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12E3" w:rsidRDefault="003F2D37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警戒措置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12E3" w:rsidRDefault="009012E3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9012E3" w:rsidRDefault="003F2D3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発破場所から</w:t>
            </w:r>
            <w:r>
              <w:rPr>
                <w:rFonts w:cs="ＭＳ 明朝"/>
                <w:bdr w:val="single" w:sz="4" w:space="0" w:color="000000"/>
              </w:rPr>
              <w:t xml:space="preserve">        </w:t>
            </w:r>
            <w:r>
              <w:rPr>
                <w:rFonts w:cs="ＭＳ 明朝" w:hint="eastAsia"/>
              </w:rPr>
              <w:t>ｍ以内を立ち入り禁止区域と定め、</w:t>
            </w:r>
          </w:p>
          <w:p w:rsidR="009012E3" w:rsidRDefault="003F2D3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hAnsi="Times New Roman" w:cs="ＭＳ 明朝" w:hint="eastAsia"/>
              </w:rPr>
              <w:t>〔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□注意標識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□見張人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□その他（</w:t>
            </w:r>
            <w:r>
              <w:rPr>
                <w:rFonts w:cs="ＭＳ 明朝"/>
              </w:rPr>
              <w:t xml:space="preserve">         </w:t>
            </w:r>
            <w:r>
              <w:rPr>
                <w:rFonts w:cs="ＭＳ 明朝" w:hint="eastAsia"/>
              </w:rPr>
              <w:t>）</w:t>
            </w:r>
            <w:r>
              <w:rPr>
                <w:rFonts w:hAnsi="Times New Roman" w:cs="ＭＳ 明朝" w:hint="eastAsia"/>
              </w:rPr>
              <w:t>〕</w:t>
            </w:r>
            <w:r>
              <w:rPr>
                <w:rFonts w:cs="ＭＳ 明朝" w:hint="eastAsia"/>
              </w:rPr>
              <w:t>等の方法を講じ、発破に際して</w:t>
            </w:r>
          </w:p>
          <w:p w:rsidR="009012E3" w:rsidRDefault="003F2D3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は、</w:t>
            </w:r>
            <w:r>
              <w:rPr>
                <w:rFonts w:hAnsi="Times New Roman" w:cs="ＭＳ 明朝" w:hint="eastAsia"/>
              </w:rPr>
              <w:t>〔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□サイレン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□拡声器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□振鈴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□その他（　　　　）</w:t>
            </w:r>
            <w:r>
              <w:rPr>
                <w:rFonts w:hAnsi="Times New Roman" w:cs="ＭＳ 明朝" w:hint="eastAsia"/>
              </w:rPr>
              <w:t>〕</w:t>
            </w:r>
            <w:r>
              <w:rPr>
                <w:rFonts w:cs="ＭＳ 明朝" w:hint="eastAsia"/>
              </w:rPr>
              <w:t>により警告し、安</w:t>
            </w:r>
          </w:p>
          <w:p w:rsidR="009012E3" w:rsidRDefault="003F2D3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全を確認する。</w:t>
            </w:r>
          </w:p>
          <w:p w:rsidR="009012E3" w:rsidRDefault="009012E3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012E3">
        <w:trPr>
          <w:cantSplit/>
          <w:trHeight w:val="1992"/>
        </w:trPr>
        <w:tc>
          <w:tcPr>
            <w:tcW w:w="1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12E3" w:rsidRDefault="00901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12E3" w:rsidRDefault="003F2D3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その他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3" w:rsidRDefault="009012E3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12E3" w:rsidRDefault="009012E3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012E3">
        <w:trPr>
          <w:cantSplit/>
          <w:trHeight w:val="332"/>
        </w:trPr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2E3" w:rsidRDefault="00901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3" w:rsidRDefault="009012E3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012E3">
        <w:trPr>
          <w:trHeight w:val="188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2E3" w:rsidRDefault="003F2D37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防護措置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3" w:rsidRDefault="003F2D3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爆風、騒音、地盤振動、飛石防止のため次の対策をとる。</w:t>
            </w:r>
          </w:p>
          <w:p w:rsidR="009012E3" w:rsidRDefault="009012E3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9012E3" w:rsidRDefault="003F2D3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□遮へい物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□段発雷管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□消音材（水）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□覆土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□装薬量を減らす</w:t>
            </w:r>
          </w:p>
          <w:p w:rsidR="009012E3" w:rsidRDefault="009012E3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9012E3" w:rsidRDefault="003F2D3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□人工的な溝等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□試験発破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□せん孔角度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□浮石除去</w:t>
            </w:r>
          </w:p>
        </w:tc>
      </w:tr>
      <w:tr w:rsidR="009012E3">
        <w:trPr>
          <w:trHeight w:val="1162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2E3" w:rsidRDefault="003F2D37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防護具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防護具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3" w:rsidRDefault="003F2D3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□たたみ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□むしろ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□マット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□古ベルト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□防爆シート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□金網</w:t>
            </w:r>
          </w:p>
          <w:p w:rsidR="009012E3" w:rsidRDefault="009012E3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9012E3" w:rsidRDefault="003F2D3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□プラストフェンス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□棚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□その他（</w:t>
            </w:r>
            <w:r>
              <w:rPr>
                <w:rFonts w:cs="ＭＳ 明朝"/>
              </w:rPr>
              <w:t xml:space="preserve">             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9012E3">
        <w:trPr>
          <w:trHeight w:val="1328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2E3" w:rsidRDefault="003F2D37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消費場所</w:t>
            </w:r>
          </w:p>
          <w:p w:rsidR="009012E3" w:rsidRDefault="003F2D37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における</w:t>
            </w:r>
          </w:p>
          <w:p w:rsidR="009012E3" w:rsidRDefault="003F2D37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運搬用具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3" w:rsidRDefault="009012E3">
            <w:pPr>
              <w:kinsoku w:val="0"/>
              <w:overflowPunct w:val="0"/>
              <w:autoSpaceDE w:val="0"/>
              <w:autoSpaceDN w:val="0"/>
              <w:spacing w:line="166" w:lineRule="exact"/>
              <w:rPr>
                <w:rFonts w:ascii="Times New Roman" w:hAnsi="Times New Roman"/>
              </w:rPr>
            </w:pPr>
          </w:p>
          <w:p w:rsidR="009012E3" w:rsidRDefault="003F2D37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□背負箱〔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□木製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□その他（　　　　　）〕</w:t>
            </w:r>
          </w:p>
          <w:p w:rsidR="009012E3" w:rsidRDefault="009012E3">
            <w:pPr>
              <w:rPr>
                <w:rFonts w:ascii="Times New Roman" w:hAnsi="Times New Roman"/>
              </w:rPr>
            </w:pPr>
          </w:p>
          <w:p w:rsidR="009012E3" w:rsidRDefault="003F2D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□背負袋</w:t>
            </w:r>
          </w:p>
        </w:tc>
      </w:tr>
      <w:tr w:rsidR="009012E3">
        <w:trPr>
          <w:trHeight w:val="996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2E3" w:rsidRDefault="003F2D37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交通規制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3" w:rsidRDefault="009012E3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9012E3" w:rsidRDefault="003F2D3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□有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□無</w:t>
            </w:r>
          </w:p>
        </w:tc>
      </w:tr>
      <w:tr w:rsidR="009012E3">
        <w:trPr>
          <w:trHeight w:val="1328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2E3" w:rsidRDefault="003F2D37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災害発生</w:t>
            </w:r>
          </w:p>
          <w:p w:rsidR="009012E3" w:rsidRDefault="003F2D37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時の措置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3" w:rsidRDefault="009012E3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9012E3" w:rsidRDefault="003F2D3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現場を保存し、速やかに警察官に届けると同時に</w:t>
            </w:r>
            <w:r>
              <w:rPr>
                <w:rFonts w:cs="ＭＳ 明朝" w:hint="eastAsia"/>
                <w:bdr w:val="single" w:sz="4" w:space="0" w:color="000000"/>
              </w:rPr>
              <w:t>下呂市消防本部</w:t>
            </w:r>
            <w:r>
              <w:rPr>
                <w:rFonts w:cs="ＭＳ 明朝" w:hint="eastAsia"/>
              </w:rPr>
              <w:t>に通報する。</w:t>
            </w:r>
          </w:p>
          <w:p w:rsidR="009012E3" w:rsidRDefault="003F2D3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なお、遅滞なく、事故内容について報告する。</w:t>
            </w:r>
          </w:p>
        </w:tc>
      </w:tr>
    </w:tbl>
    <w:p w:rsidR="009012E3" w:rsidRDefault="009012E3">
      <w:pPr>
        <w:adjustRightInd/>
        <w:rPr>
          <w:rFonts w:ascii="Times New Roman" w:hAnsi="Times New Roman"/>
        </w:rPr>
      </w:pPr>
    </w:p>
    <w:p w:rsidR="003F2D37" w:rsidRDefault="003F2D37">
      <w:pPr>
        <w:adjustRightInd/>
        <w:rPr>
          <w:rFonts w:ascii="Times New Roman" w:hAnsi="Times New Roman"/>
        </w:rPr>
      </w:pPr>
    </w:p>
    <w:sectPr w:rsidR="003F2D37">
      <w:footerReference w:type="default" r:id="rId6"/>
      <w:type w:val="continuous"/>
      <w:pgSz w:w="11906" w:h="16838"/>
      <w:pgMar w:top="1134" w:right="1134" w:bottom="1418" w:left="1134" w:header="720" w:footer="720" w:gutter="0"/>
      <w:pgNumType w:start="102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44" w:rsidRDefault="00742344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742344" w:rsidRDefault="00742344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2E3" w:rsidRDefault="009012E3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44" w:rsidRDefault="00742344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2344" w:rsidRDefault="00742344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0"/>
  <w:drawingGridVerticalSpacing w:val="3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14"/>
    <w:rsid w:val="003F2D37"/>
    <w:rsid w:val="00546014"/>
    <w:rsid w:val="00580608"/>
    <w:rsid w:val="00742344"/>
    <w:rsid w:val="0090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B359E"/>
  <w15:chartTrackingRefBased/>
  <w15:docId w15:val="{0C27546E-A733-43BB-BC59-EAF608D9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６５</vt:lpstr>
      <vt:lpstr>様式 ６５</vt:lpstr>
    </vt:vector>
  </TitlesOfParts>
  <Company>下呂市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６５</dc:title>
  <dc:subject/>
  <dc:creator>岐阜県</dc:creator>
  <cp:keywords/>
  <dc:description/>
  <cp:lastModifiedBy>予防課 危険物係</cp:lastModifiedBy>
  <cp:revision>3</cp:revision>
  <cp:lastPrinted>2006-02-06T06:28:00Z</cp:lastPrinted>
  <dcterms:created xsi:type="dcterms:W3CDTF">2021-02-16T01:37:00Z</dcterms:created>
  <dcterms:modified xsi:type="dcterms:W3CDTF">2021-02-18T07:35:00Z</dcterms:modified>
</cp:coreProperties>
</file>